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szCs w:val="32"/>
        </w:rPr>
      </w:pPr>
      <w:r>
        <w:rPr>
          <w:b/>
          <w:color w:val="000000"/>
          <w:sz w:val="32"/>
          <w:szCs w:val="32"/>
        </w:rPr>
        <w:t>A Sample paper for Physics Education</w:t>
      </w:r>
    </w:p>
    <w:p>
      <w:pPr>
        <w:pStyle w:val="Normal"/>
        <w:jc w:val="center"/>
        <w:rPr>
          <w:sz w:val="32"/>
          <w:vertAlign w:val="superscript"/>
        </w:rPr>
      </w:pPr>
      <w:r>
        <w:rPr>
          <w:color w:val="000000"/>
          <w:sz w:val="28"/>
          <w:szCs w:val="28"/>
        </w:rPr>
        <w:t>A. Author</w:t>
      </w:r>
      <w:r>
        <w:rPr>
          <w:sz w:val="32"/>
          <w:vertAlign w:val="superscript"/>
        </w:rPr>
        <w:t>1</w:t>
      </w:r>
      <w:r>
        <w:rPr>
          <w:sz w:val="32"/>
        </w:rPr>
        <w:t xml:space="preserve"> and </w:t>
      </w:r>
      <w:r>
        <w:rPr>
          <w:color w:val="000000"/>
          <w:sz w:val="28"/>
          <w:szCs w:val="28"/>
        </w:rPr>
        <w:t>B. Author</w:t>
      </w:r>
      <w:r>
        <w:rPr>
          <w:sz w:val="32"/>
          <w:vertAlign w:val="superscript"/>
        </w:rPr>
        <w:t xml:space="preserve"> 2</w:t>
      </w:r>
    </w:p>
    <w:p>
      <w:pPr>
        <w:pStyle w:val="Normal"/>
        <w:spacing w:lineRule="auto" w:line="240" w:before="0" w:after="0"/>
        <w:jc w:val="center"/>
        <w:rPr>
          <w:sz w:val="24"/>
          <w:szCs w:val="24"/>
        </w:rPr>
      </w:pPr>
      <w:r>
        <w:rPr>
          <w:sz w:val="24"/>
          <w:szCs w:val="24"/>
          <w:vertAlign w:val="superscript"/>
        </w:rPr>
        <w:t>1</w:t>
      </w:r>
      <w:r>
        <w:rPr>
          <w:sz w:val="24"/>
          <w:szCs w:val="24"/>
        </w:rPr>
        <w:t>Department of Physics</w:t>
      </w:r>
    </w:p>
    <w:p>
      <w:pPr>
        <w:pStyle w:val="Normal"/>
        <w:spacing w:lineRule="auto" w:line="240" w:before="0" w:after="0"/>
        <w:jc w:val="center"/>
        <w:rPr>
          <w:sz w:val="24"/>
          <w:szCs w:val="24"/>
        </w:rPr>
      </w:pPr>
      <w:r>
        <w:rPr>
          <w:sz w:val="24"/>
          <w:szCs w:val="24"/>
        </w:rPr>
        <w:t>Indian Institute of Science Education and Research</w:t>
      </w:r>
    </w:p>
    <w:p>
      <w:pPr>
        <w:pStyle w:val="Normal"/>
        <w:spacing w:lineRule="auto" w:line="240" w:before="0" w:after="0"/>
        <w:jc w:val="center"/>
        <w:rPr>
          <w:sz w:val="24"/>
          <w:szCs w:val="24"/>
        </w:rPr>
      </w:pPr>
      <w:r>
        <w:rPr>
          <w:sz w:val="24"/>
          <w:szCs w:val="24"/>
        </w:rPr>
        <w:t>Pune 410021, India.</w:t>
      </w:r>
    </w:p>
    <w:p>
      <w:pPr>
        <w:pStyle w:val="Normal"/>
        <w:spacing w:lineRule="auto" w:line="240" w:before="0" w:after="0"/>
        <w:jc w:val="center"/>
        <w:rPr>
          <w:sz w:val="24"/>
          <w:szCs w:val="24"/>
        </w:rPr>
      </w:pPr>
      <w:r>
        <w:rPr>
          <w:sz w:val="24"/>
          <w:szCs w:val="24"/>
        </w:rPr>
      </w:r>
    </w:p>
    <w:p>
      <w:pPr>
        <w:pStyle w:val="Normal"/>
        <w:spacing w:lineRule="auto" w:line="240" w:before="0" w:after="0"/>
        <w:jc w:val="center"/>
        <w:rPr>
          <w:sz w:val="24"/>
          <w:szCs w:val="24"/>
        </w:rPr>
      </w:pPr>
      <w:r>
        <w:rPr>
          <w:sz w:val="24"/>
          <w:szCs w:val="24"/>
          <w:vertAlign w:val="superscript"/>
        </w:rPr>
        <w:t>2</w:t>
      </w:r>
      <w:r>
        <w:rPr>
          <w:sz w:val="24"/>
          <w:szCs w:val="24"/>
        </w:rPr>
        <w:t>Department of Physics</w:t>
      </w:r>
    </w:p>
    <w:p>
      <w:pPr>
        <w:pStyle w:val="Normal"/>
        <w:spacing w:lineRule="auto" w:line="240" w:before="0" w:after="0"/>
        <w:jc w:val="center"/>
        <w:rPr>
          <w:sz w:val="24"/>
          <w:szCs w:val="24"/>
        </w:rPr>
      </w:pPr>
      <w:r>
        <w:rPr>
          <w:sz w:val="24"/>
          <w:szCs w:val="24"/>
        </w:rPr>
        <w:t>Princeton University</w:t>
      </w:r>
    </w:p>
    <w:p>
      <w:pPr>
        <w:pStyle w:val="Normal"/>
        <w:spacing w:lineRule="auto" w:line="240" w:before="0" w:after="0"/>
        <w:jc w:val="center"/>
        <w:rPr>
          <w:sz w:val="24"/>
          <w:szCs w:val="24"/>
        </w:rPr>
      </w:pPr>
      <w:r>
        <w:rPr>
          <w:sz w:val="24"/>
          <w:szCs w:val="24"/>
        </w:rPr>
        <w:t xml:space="preserve">Princeton 12534, USA. </w:t>
      </w:r>
    </w:p>
    <w:p>
      <w:pPr>
        <w:pStyle w:val="Normal"/>
        <w:spacing w:lineRule="auto" w:line="240" w:before="0" w:after="0"/>
        <w:jc w:val="center"/>
        <w:rPr>
          <w:sz w:val="24"/>
          <w:szCs w:val="24"/>
        </w:rPr>
      </w:pPr>
      <w:r>
        <w:rPr>
          <w:sz w:val="24"/>
          <w:szCs w:val="24"/>
        </w:rPr>
      </w:r>
    </w:p>
    <w:p>
      <w:pPr>
        <w:pStyle w:val="Normal"/>
        <w:spacing w:lineRule="auto" w:line="240" w:before="0" w:after="0"/>
        <w:jc w:val="center"/>
        <w:rPr>
          <w:sz w:val="24"/>
          <w:szCs w:val="24"/>
        </w:rPr>
      </w:pPr>
      <w:r>
        <w:rPr>
          <w:sz w:val="24"/>
          <w:szCs w:val="24"/>
        </w:rPr>
        <w:t>(</w:t>
      </w:r>
      <w:r>
        <w:rPr>
          <w:i/>
          <w:sz w:val="24"/>
          <w:szCs w:val="24"/>
        </w:rPr>
        <w:t>Submitted</w:t>
      </w:r>
      <w:r>
        <w:rPr>
          <w:sz w:val="24"/>
          <w:szCs w:val="24"/>
        </w:rPr>
        <w:t xml:space="preserve"> dd-mm-yyyy)</w:t>
      </w:r>
    </w:p>
    <w:p>
      <w:pPr>
        <w:pStyle w:val="Normal"/>
        <w:spacing w:lineRule="auto" w:line="240" w:before="0" w:after="0"/>
        <w:jc w:val="center"/>
        <w:rPr>
          <w:sz w:val="24"/>
          <w:szCs w:val="24"/>
        </w:rPr>
      </w:pPr>
      <w:r>
        <w:rPr>
          <w:sz w:val="24"/>
          <w:szCs w:val="24"/>
        </w:rPr>
        <mc:AlternateContent>
          <mc:Choice Requires="wps">
            <w:drawing>
              <wp:anchor behindDoc="0" distT="5715" distB="5080" distL="5080" distR="5715" simplePos="0" locked="0" layoutInCell="1" allowOverlap="1" relativeHeight="13" wp14:anchorId="680F3F5E">
                <wp:simplePos x="0" y="0"/>
                <wp:positionH relativeFrom="column">
                  <wp:posOffset>-9525</wp:posOffset>
                </wp:positionH>
                <wp:positionV relativeFrom="paragraph">
                  <wp:posOffset>78105</wp:posOffset>
                </wp:positionV>
                <wp:extent cx="5753100" cy="635"/>
                <wp:effectExtent l="5080" t="5715" r="5715" b="5080"/>
                <wp:wrapNone/>
                <wp:docPr id="1" name="AutoShape 2"/>
                <a:graphic xmlns:a="http://schemas.openxmlformats.org/drawingml/2006/main">
                  <a:graphicData uri="http://schemas.microsoft.com/office/word/2010/wordprocessingShape">
                    <wps:wsp>
                      <wps:cNvSpPr/>
                      <wps:spPr>
                        <a:xfrm flipV="1">
                          <a:off x="0" y="0"/>
                          <a:ext cx="57531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path="m0,0l-2147483648,-2147483647e" stroked="t" o:allowincell="f" style="position:absolute;margin-left:-0.8pt;margin-top:6.15pt;width:452.95pt;height:0pt;flip:y;mso-wrap-style:none;v-text-anchor:middle" wp14:anchorId="680F3F5E" type="_x0000_t32">
                <v:fill o:detectmouseclick="t" on="false"/>
                <v:stroke color="black" weight="9360" joinstyle="round" endcap="flat"/>
                <w10:wrap type="none"/>
              </v:shape>
            </w:pict>
          </mc:Fallback>
        </mc:AlternateContent>
      </w:r>
    </w:p>
    <w:p>
      <w:pPr>
        <w:pStyle w:val="Normal"/>
        <w:spacing w:lineRule="auto" w:line="240" w:before="0" w:after="0"/>
        <w:jc w:val="center"/>
        <w:rPr>
          <w:b/>
          <w:sz w:val="24"/>
          <w:szCs w:val="24"/>
        </w:rPr>
      </w:pPr>
      <w:r>
        <w:rPr>
          <w:b/>
          <w:sz w:val="24"/>
          <w:szCs w:val="24"/>
        </w:rPr>
        <w:t>Abstract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end="1260"/>
        <w:jc w:val="both"/>
        <w:rPr>
          <w:sz w:val="24"/>
          <w:szCs w:val="24"/>
        </w:rPr>
      </w:pPr>
      <w:r>
        <w:rPr>
          <w:rFonts w:eastAsia="Times New Roman" w:cs="Calibri" w:cstheme="minorHAnsi"/>
          <w:color w:val="000000"/>
          <w:sz w:val="24"/>
          <w:szCs w:val="24"/>
        </w:rPr>
        <w:t>A well composed abstract is a great asset. It informs in brief the key results of the study, clearly enunciating the assumptions used, principles and philosophy employed to arrive at the salient results. The length of the abstract is determined by the minimal length needed to give the reader a reasonable gist of the paper for him/her to decide whether (s)he should devote time for further study.</w:t>
      </w:r>
      <w:r>
        <w:rPr>
          <w:sz w:val="24"/>
          <w:szCs w:val="24"/>
        </w:rPr>
        <w:t xml:space="preserve">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450" w:gutter="0" w:header="864" w:top="1440" w:footer="720" w:bottom="1440"/>
          <w:pgNumType w:fmt="decimal"/>
          <w:formProt w:val="false"/>
          <w:textDirection w:val="lrTb"/>
          <w:docGrid w:type="default" w:linePitch="360" w:charSpace="0"/>
        </w:sectPr>
      </w:pP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sz w:val="24"/>
          <w:szCs w:val="24"/>
        </w:rPr>
        <mc:AlternateContent>
          <mc:Choice Requires="wps">
            <w:drawing>
              <wp:anchor behindDoc="0" distT="5715" distB="5080" distL="5080" distR="5715" simplePos="0" locked="0" layoutInCell="1" allowOverlap="1" relativeHeight="14" wp14:anchorId="4DA11BD6">
                <wp:simplePos x="0" y="0"/>
                <wp:positionH relativeFrom="column">
                  <wp:posOffset>335915</wp:posOffset>
                </wp:positionH>
                <wp:positionV relativeFrom="paragraph">
                  <wp:posOffset>62230</wp:posOffset>
                </wp:positionV>
                <wp:extent cx="5772150" cy="9525"/>
                <wp:effectExtent l="5080" t="5715" r="5715" b="5080"/>
                <wp:wrapNone/>
                <wp:docPr id="6" name="AutoShape 3"/>
                <a:graphic xmlns:a="http://schemas.openxmlformats.org/drawingml/2006/main">
                  <a:graphicData uri="http://schemas.microsoft.com/office/word/2010/wordprocessingShape">
                    <wps:wsp>
                      <wps:cNvSpPr/>
                      <wps:spPr>
                        <a:xfrm flipV="1">
                          <a:off x="0" y="0"/>
                          <a:ext cx="5772240" cy="936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3" path="m0,0l-2147483648,-2147483647e" stroked="t" o:allowincell="f" style="position:absolute;margin-left:26.45pt;margin-top:4.9pt;width:454.45pt;height:0.7pt;flip:y;mso-wrap-style:none;v-text-anchor:middle" wp14:anchorId="4DA11BD6" type="_x0000_t32">
                <v:fill o:detectmouseclick="t" on="false"/>
                <v:stroke color="black" weight="9360" joinstyle="round" endcap="flat"/>
                <w10:wrap type="none"/>
              </v:shape>
            </w:pict>
          </mc:Fallback>
        </mc:AlternateContent>
      </w:r>
    </w:p>
    <w:p>
      <w:pPr>
        <w:pStyle w:val="ListParagraph"/>
        <w:numPr>
          <w:ilvl w:val="0"/>
          <w:numId w:val="1"/>
        </w:numPr>
        <w:spacing w:before="0" w:after="0"/>
        <w:contextualSpacing/>
        <w:jc w:val="both"/>
        <w:rPr>
          <w:b/>
          <w:sz w:val="32"/>
          <w:szCs w:val="32"/>
        </w:rPr>
      </w:pPr>
      <w:r>
        <w:rPr>
          <w:b/>
          <w:sz w:val="32"/>
          <w:szCs w:val="32"/>
        </w:rPr>
        <w:t>Introduction</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Introduction must always be carefully written to bring out the distinct features of any contribution. It is widely known that most readers do not go beyond the first section. The author will be advised that he clearly expresses the new result advanced in the paper in the first few well-chosen paragraphs. It should define the context, give underlying basis for investigation and clarify the methods that the author has undertaken. Here is one such example.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Synchronization of chaotic systems has received much attention in the last decade since the work of Pecora and Carrol. This has been partly fuelled by potential applications of chaos control, synchronized dynamics in various areas ranging from secure communication, neural networks and pattern formation. Even though, at first sight, it appears that the sensitive dependence on initial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conditions being the hallmark of chaos might preclude any synchronization from taking place, it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has been amply demonstrated that synchronization of chaos is possible. Much of the work on chaos synchronization has focused on low dimensional maps and flows since they form the building blocks for complexity in physical systems. However, many spatio-temporal phenomena in nature are chaotic and at times display synchronization. One of the well known examples is the synchronized neuronal firings recorded by the EEG devices. To understand such spatially extended systems coupled map lattice (CML) was introduced by Kaneko as a model for high dimensional chaos capable of displaying a</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variety of dynamical features including spatio-temporal chaos. The related question is the synchronization of spatio-temporal chaos in CMLs. The general strategy is to achieve synchronization by an appropriate feedback or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drive mechanism. For instance, a generalization of Pecorra and Carrol method suggested by Kocarev and Parlitz, called active passive decomposition has been used to synchronize CMLs </w:t>
      </w:r>
      <w:r>
        <w:rPr>
          <w:rFonts w:eastAsia="Times New Roman" w:cs="Times New Roman" w:ascii="Times New Roman" w:hAnsi="Times New Roman"/>
          <w:color w:val="800000"/>
          <w:sz w:val="24"/>
          <w:szCs w:val="24"/>
        </w:rPr>
        <w:t>[1]</w:t>
      </w:r>
      <w:r>
        <w:rPr>
          <w:rFonts w:eastAsia="Times New Roman" w:cs="Times New Roman" w:ascii="Times New Roman" w:hAnsi="Times New Roman"/>
          <w:color w:val="000000"/>
          <w:sz w:val="24"/>
          <w:szCs w:val="24"/>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This is based on a general decomposition of any autonomous dynamical system by rewriting it formally as a nonautonomous system with a drive term.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In this paper, we obtain delay synchronization in CMLs by applying the continuous feedback technique introduced by Pyragas. Earlier, this method had been applied with instantaneous coupling, i.e, without delay. Here, we apply the feedback with a delay, in order to mimic real-life processes where information takes finite time for transmission in a network, i.e, the transmission time is not negligible. Let us suppose that we have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two CMLs, named as </w:t>
      </w:r>
      <w:r>
        <w:rPr/>
      </w:r>
      <m:oMath xmlns:m="http://schemas.openxmlformats.org/officeDocument/2006/math">
        <m:sSub>
          <m:e>
            <m:r>
              <m:t xml:space="preserve">X</m:t>
            </m:r>
          </m:e>
          <m:sub>
            <m:r>
              <m:t xml:space="preserve">n</m:t>
            </m:r>
            <m:r>
              <m:t xml:space="preserve">+</m:t>
            </m:r>
            <m:r>
              <m:t xml:space="preserve">1</m:t>
            </m:r>
          </m:sub>
        </m:sSub>
        <m:r>
          <m:t xml:space="preserve">(</m:t>
        </m:r>
        <m:r>
          <m:t xml:space="preserve">i</m:t>
        </m:r>
        <m:r>
          <m:t xml:space="preserve">)</m:t>
        </m:r>
      </m:oMath>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and </w:t>
      </w:r>
      <w:r>
        <w:rPr/>
      </w:r>
      <m:oMath xmlns:m="http://schemas.openxmlformats.org/officeDocument/2006/math">
        <m:sSub>
          <m:e>
            <m:r>
              <m:t xml:space="preserve">Y</m:t>
            </m:r>
          </m:e>
          <m:sub>
            <m:r>
              <m:t xml:space="preserve">n</m:t>
            </m:r>
            <m:r>
              <m:t xml:space="preserve">+</m:t>
            </m:r>
            <m:r>
              <m:t xml:space="preserve">1</m:t>
            </m:r>
          </m:sub>
        </m:sSub>
        <m:r>
          <m:t xml:space="preserve">(</m:t>
        </m:r>
        <m:r>
          <m:t xml:space="preserve">i</m:t>
        </m:r>
        <m:r>
          <m:t xml:space="preserve">)</m:t>
        </m:r>
      </m:oMath>
      <w:r>
        <w:rPr>
          <w:rFonts w:eastAsia="Times New Roman" w:cs="Times New Roman" w:ascii="Times New Roman" w:hAnsi="Times New Roman"/>
          <w:color w:val="000000"/>
          <w:sz w:val="24"/>
          <w:szCs w:val="24"/>
        </w:rPr>
        <w:t xml:space="preserve"> where n and i denote the time and space index respectively. In this method,  a suitable form of the signal from </w:t>
      </w:r>
      <w:r>
        <w:rPr/>
      </w:r>
      <m:oMath xmlns:m="http://schemas.openxmlformats.org/officeDocument/2006/math">
        <m:r>
          <m:t xml:space="preserve">X</m:t>
        </m:r>
      </m:oMath>
      <w:r>
        <w:rPr>
          <w:rFonts w:eastAsia="Times New Roman" w:cs="Times New Roman" w:ascii="Times New Roman" w:hAnsi="Times New Roman"/>
          <w:color w:val="000000"/>
          <w:sz w:val="24"/>
          <w:szCs w:val="24"/>
        </w:rPr>
        <w:t xml:space="preserve"> system is fed with a constant delay </w:t>
      </w:r>
      <w:r>
        <w:rPr/>
      </w:r>
      <m:oMath xmlns:m="http://schemas.openxmlformats.org/officeDocument/2006/math">
        <m:r>
          <m:t xml:space="preserve">k</m:t>
        </m:r>
      </m:oMath>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at every instant into </w:t>
      </w:r>
      <w:r>
        <w:rPr/>
      </w:r>
      <m:oMath xmlns:m="http://schemas.openxmlformats.org/officeDocument/2006/math">
        <m:r>
          <m:t xml:space="preserve">Y</m:t>
        </m:r>
      </m:oMath>
      <w:r>
        <w:rPr>
          <w:rFonts w:eastAsia="Times New Roman" w:cs="Times New Roman" w:ascii="Times New Roman" w:hAnsi="Times New Roman"/>
          <w:color w:val="000000"/>
          <w:sz w:val="24"/>
          <w:szCs w:val="24"/>
        </w:rPr>
        <w:t xml:space="preserve"> system.  Under suitable conditions this leads to </w:t>
      </w:r>
      <w:r>
        <w:rPr/>
      </w:r>
      <m:oMath xmlns:m="http://schemas.openxmlformats.org/officeDocument/2006/math">
        <m:sSub>
          <m:e>
            <m:r>
              <m:t xml:space="preserve">X</m:t>
            </m:r>
          </m:e>
          <m:sub>
            <m:r>
              <m:t xml:space="preserve">n</m:t>
            </m:r>
            <m:r>
              <m:t xml:space="preserve">+</m:t>
            </m:r>
            <m:r>
              <m:t xml:space="preserve">k</m:t>
            </m:r>
          </m:sub>
        </m:sSub>
        <m:d>
          <m:dPr>
            <m:begChr m:val="("/>
            <m:endChr m:val=")"/>
          </m:dPr>
          <m:e>
            <m:r>
              <m:t xml:space="preserve">i</m:t>
            </m:r>
          </m:e>
        </m:d>
        <m:r>
          <m:t xml:space="preserve">=</m:t>
        </m:r>
        <m:sSub>
          <m:e>
            <m:r>
              <m:t xml:space="preserve">Y</m:t>
            </m:r>
          </m:e>
          <m:sub>
            <m:r>
              <m:t xml:space="preserve">n</m:t>
            </m:r>
            <m:r>
              <m:t xml:space="preserve">+</m:t>
            </m:r>
            <m:r>
              <m:t xml:space="preserve">1</m:t>
            </m:r>
          </m:sub>
        </m:sSub>
        <m:r>
          <m:t xml:space="preserve">(</m:t>
        </m:r>
        <m:r>
          <m:t xml:space="preserve">i</m:t>
        </m:r>
        <m:r>
          <m:t xml:space="preserve">)</m:t>
        </m:r>
      </m:oMath>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 synchronized state, even when </w:t>
      </w:r>
      <w:r>
        <w:rPr/>
      </w:r>
      <m:oMath xmlns:m="http://schemas.openxmlformats.org/officeDocument/2006/math">
        <m:r>
          <m:t xml:space="preserve">X</m:t>
        </m:r>
      </m:oMath>
      <w:r>
        <w:rPr>
          <w:rFonts w:eastAsia="Times New Roman" w:cs="Times New Roman" w:ascii="Times New Roman" w:hAnsi="Times New Roman"/>
          <w:color w:val="000000"/>
          <w:sz w:val="24"/>
          <w:szCs w:val="24"/>
        </w:rPr>
        <w:t xml:space="preserve"> and </w:t>
      </w:r>
      <w:r>
        <w:rPr>
          <w:rFonts w:eastAsia="Times New Roman" w:cs="Times New Roman" w:ascii="Times New Roman" w:hAnsi="Times New Roman"/>
          <w:i/>
          <w:sz w:val="24"/>
          <w:szCs w:val="24"/>
        </w:rPr>
        <w:t>Y</w:t>
      </w:r>
      <w:r>
        <w:rPr>
          <w:rFonts w:eastAsia="Times New Roman" w:cs="Times New Roman" w:ascii="Times New Roman" w:hAnsi="Times New Roman"/>
          <w:color w:val="000000"/>
          <w:sz w:val="24"/>
          <w:szCs w:val="24"/>
        </w:rPr>
        <w:t xml:space="preserve"> individually continue to execute chaotic dynamics.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paper is organized as follows. With a brief discussion of the two important concepts in dimensional analysis, we directly use these concepts to some classic but not known problems in section 3. In section 4, we discuss the applications of DA to some quantum mechanical problems. Some more advanced problems related to bound state one have been incorporated in</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section 5. In section 6, we point out an important application to the solution of diffusion equation in physics. Finally, we give our conclusions in last section.</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
        <w:shd w:val="clear" w:color="auto" w:fill="FFFFFF"/>
        <w:spacing w:lineRule="atLeast" w:line="270" w:beforeAutospacing="0" w:before="0" w:after="280"/>
        <w:jc w:val="both"/>
        <w:rPr>
          <w:rFonts w:ascii="Calibri" w:hAnsi="Calibri" w:cs="Calibri" w:asciiTheme="minorHAnsi" w:cstheme="minorHAnsi" w:hAnsiTheme="minorHAnsi"/>
          <w:b/>
          <w:color w:val="000000"/>
          <w:sz w:val="32"/>
          <w:szCs w:val="32"/>
        </w:rPr>
      </w:pPr>
      <w:r>
        <w:rPr>
          <w:rFonts w:cs="Calibri" w:ascii="Calibri" w:hAnsi="Calibri" w:asciiTheme="minorHAnsi" w:cstheme="minorHAnsi" w:hAnsiTheme="minorHAnsi"/>
          <w:b/>
          <w:color w:val="000000"/>
          <w:sz w:val="32"/>
          <w:szCs w:val="32"/>
        </w:rPr>
        <w:t>2.Dimensional Analysis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second section must be on the method employed and basic assumptions and limitations of the technique clearly enunciated.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Dimensional analysis (DA)  is one of the powerful tools in theoretical physics, often invoked to solve the problems without much mathematics. Dimensional analysis in physics has been routinely used to discuss the dependence of various physical quantities with others and for conversions of units from one system to others. Here, we would like to discuss some of the physical problems which can be tackled so nicely by this method. These problems are not often discussed in the text books or in the classrooms for the young students. The bottom line of the DA is that one does not solve the exact functional form of the solution to a given problem. There are some excellent review articles [1,2] in the literature where some interesting problems have been discussed in detail.</w:t>
      </w:r>
    </w:p>
    <w:p>
      <w:pPr>
        <w:sectPr>
          <w:type w:val="continuous"/>
          <w:pgSz w:w="12240" w:h="15840"/>
          <w:pgMar w:left="1440" w:right="450" w:gutter="0" w:header="864" w:top="1440" w:footer="720" w:bottom="1440"/>
          <w:cols w:num="2" w:space="720" w:equalWidth="true" w:sep="false"/>
          <w:formProt w:val="false"/>
          <w:textDirection w:val="lrTb"/>
          <w:docGrid w:type="default" w:linePitch="360" w:charSpace="0"/>
        </w:sectPr>
      </w:pPr>
    </w:p>
    <w:p>
      <w:pPr>
        <w:pStyle w:val="body"/>
        <w:shd w:val="clear" w:color="auto" w:fill="FFFFFF"/>
        <w:spacing w:lineRule="atLeast" w:line="270" w:beforeAutospacing="0" w:before="0" w:after="280"/>
        <w:jc w:val="both"/>
        <w:rPr>
          <w:color w:val="000000"/>
        </w:rPr>
      </w:pPr>
      <w:r>
        <w:rPr>
          <w:color w:val="000000"/>
        </w:rPr>
      </w:r>
    </w:p>
    <w:p>
      <w:pPr>
        <w:pStyle w:val="body"/>
        <w:shd w:val="clear" w:color="auto" w:fill="FFFFFF"/>
        <w:spacing w:lineRule="atLeast" w:line="270" w:beforeAutospacing="0" w:before="0" w:after="280"/>
        <w:jc w:val="both"/>
        <w:rPr>
          <w:color w:val="000000"/>
        </w:rPr>
      </w:pPr>
      <w:r>
        <w:rPr>
          <w:color w:val="000000"/>
        </w:rPr>
        <w:t>If you need to introduce a long equation that stretches into two columns or a wide table you may want to be briefly in a single column page layout for a portion like here:</w:t>
      </w:r>
    </w:p>
    <w:p>
      <w:pPr>
        <w:pStyle w:val="body"/>
        <w:shd w:val="clear" w:color="auto" w:fill="FFFFFF"/>
        <w:spacing w:lineRule="atLeast" w:line="270" w:beforeAutospacing="0" w:before="0" w:after="280"/>
        <w:jc w:val="center"/>
        <w:rPr>
          <w:color w:val="3B3A39"/>
        </w:rPr>
      </w:pPr>
      <w:r>
        <w:rPr/>
      </w:r>
      <m:oMathPara xmlns:m="http://schemas.openxmlformats.org/officeDocument/2006/math">
        <m:oMathParaPr>
          <m:jc m:val="center"/>
        </m:oMathParaPr>
        <m:oMath>
          <m:sSup>
            <m:e>
              <m:r>
                <m:t xml:space="preserve">(</m:t>
              </m:r>
              <m:r>
                <m:t xml:space="preserve">x</m:t>
              </m:r>
              <m:r>
                <m:t xml:space="preserve">+</m:t>
              </m:r>
              <m:r>
                <m:t xml:space="preserve">a</m:t>
              </m:r>
              <m:r>
                <m:t xml:space="preserve">)</m:t>
              </m:r>
            </m:e>
            <m:sup>
              <m:r>
                <m:t xml:space="preserve">n</m:t>
              </m:r>
            </m:sup>
          </m:sSup>
          <m:r>
            <m:t xml:space="preserve">=</m:t>
          </m:r>
          <m:nary>
            <m:naryPr>
              <m:chr m:val="∑"/>
            </m:naryPr>
            <m:sub>
              <m:r>
                <m:t xml:space="preserve">k</m:t>
              </m:r>
              <m:r>
                <m:t xml:space="preserve">=</m:t>
              </m:r>
              <m:r>
                <m:t xml:space="preserve">1</m:t>
              </m:r>
            </m:sub>
            <m:sup>
              <m:r>
                <m:t xml:space="preserve">n</m:t>
              </m:r>
            </m:sup>
            <m:e>
              <m:sSubSup>
                <m:e>
                  <m:r>
                    <m:t xml:space="preserve">C</m:t>
                  </m:r>
                </m:e>
                <m:sub>
                  <m:r>
                    <m:t xml:space="preserve">k</m:t>
                  </m:r>
                </m:sub>
                <m:sup>
                  <m:r>
                    <m:t xml:space="preserve">n</m:t>
                  </m:r>
                </m:sup>
              </m:sSubSup>
            </m:e>
          </m:nary>
          <m:sSup>
            <m:e>
              <m:r>
                <m:t xml:space="preserve">x</m:t>
              </m:r>
            </m:e>
            <m:sup>
              <m:r>
                <m:t xml:space="preserve">k</m:t>
              </m:r>
            </m:sup>
          </m:sSup>
          <m:sSup>
            <m:e>
              <m:r>
                <m:t xml:space="preserve">a</m:t>
              </m:r>
            </m:e>
            <m:sup>
              <m:r>
                <m:t xml:space="preserve">n</m:t>
              </m:r>
              <m:r>
                <m:t xml:space="preserve">−</m:t>
              </m:r>
              <m:r>
                <m:t xml:space="preserve">k</m:t>
              </m:r>
            </m:sup>
          </m:sSup>
          <m:r>
            <m:t xml:space="preserve">;</m:t>
          </m:r>
          <m:sSubSup>
            <m:e>
              <m:r>
                <m:t xml:space="preserve">c</m:t>
              </m:r>
            </m:e>
            <m:sub>
              <m:r>
                <m:t xml:space="preserve">k</m:t>
              </m:r>
            </m:sub>
            <m:sup>
              <m:r>
                <m:t xml:space="preserve">n</m:t>
              </m:r>
            </m:sup>
          </m:sSubSup>
          <m:r>
            <m:t xml:space="preserve">=</m:t>
          </m:r>
          <m:f>
            <m:num>
              <m:r>
                <m:t xml:space="preserve">n</m:t>
              </m:r>
              <m:r>
                <m:t xml:space="preserve">!</m:t>
              </m:r>
            </m:num>
            <m:den>
              <m:r>
                <m:t xml:space="preserve">k</m:t>
              </m:r>
              <m:r>
                <m:t xml:space="preserve">!</m:t>
              </m:r>
              <m:r>
                <m:t xml:space="preserve">(</m:t>
              </m:r>
              <m:r>
                <m:t xml:space="preserve">n</m:t>
              </m:r>
              <m:r>
                <m:t xml:space="preserve">−</m:t>
              </m:r>
              <m:r>
                <m:t xml:space="preserve">k</m:t>
              </m:r>
              <m:r>
                <m:t xml:space="preserve">)</m:t>
              </m:r>
              <m:r>
                <m:t xml:space="preserve">!</m:t>
              </m:r>
            </m:den>
          </m:f>
        </m:oMath>
      </m:oMathPara>
    </w:p>
    <w:p>
      <w:pPr>
        <w:pStyle w:val="body"/>
        <w:shd w:val="clear" w:color="auto" w:fill="FFFFFF"/>
        <w:spacing w:lineRule="atLeast" w:line="270" w:beforeAutospacing="0" w:before="0" w:after="280"/>
        <w:jc w:val="center"/>
        <w:rPr>
          <w:color w:val="3B3A39"/>
        </w:rPr>
      </w:pPr>
      <w:r>
        <w:rPr/>
      </w:r>
      <m:oMathPara xmlns:m="http://schemas.openxmlformats.org/officeDocument/2006/math">
        <m:oMathParaPr>
          <m:jc m:val="center"/>
        </m:oMathParaPr>
        <m:oMath>
          <m:r>
            <m:t xml:space="preserve">ψ</m:t>
          </m:r>
          <m:r>
            <m:t xml:space="preserve">(</m:t>
          </m:r>
          <m:r>
            <m:t xml:space="preserve">0</m:t>
          </m:r>
          <m:r>
            <m:t xml:space="preserve">)</m:t>
          </m:r>
          <m:r>
            <m:t xml:space="preserve">&gt;</m:t>
          </m:r>
          <m:f>
            <m:num>
              <m:r>
                <m:t xml:space="preserve">1</m:t>
              </m:r>
            </m:num>
            <m:den>
              <m:rad>
                <m:radPr>
                  <m:degHide m:val="1"/>
                </m:radPr>
                <m:deg/>
                <m:e>
                  <m:r>
                    <m:t xml:space="preserve">2</m:t>
                  </m:r>
                </m:e>
              </m:rad>
            </m:den>
          </m:f>
          <m:r>
            <m:t xml:space="preserve">∨</m:t>
          </m:r>
          <m:r>
            <m:t xml:space="preserve">1</m:t>
          </m:r>
          <m:r>
            <m:t xml:space="preserve">&gt;</m:t>
          </m:r>
          <m:f>
            <m:num>
              <m:r>
                <m:t xml:space="preserve">+</m:t>
              </m:r>
              <m:r>
                <m:t xml:space="preserve">i</m:t>
              </m:r>
            </m:num>
            <m:den>
              <m:rad>
                <m:radPr>
                  <m:degHide m:val="1"/>
                </m:radPr>
                <m:deg/>
                <m:e>
                  <m:r>
                    <m:t xml:space="preserve">2</m:t>
                  </m:r>
                </m:e>
              </m:rad>
            </m:den>
          </m:f>
          <m:r>
            <m:t xml:space="preserve">∨</m:t>
          </m:r>
          <m:r>
            <m:t xml:space="preserve">2</m:t>
          </m:r>
          <m:r>
            <m:t xml:space="preserve">&gt;</m:t>
          </m:r>
          <m:r>
            <m:t xml:space="preserve">;</m:t>
          </m:r>
          <m:r>
            <m:t xml:space="preserve">∨</m:t>
          </m:r>
          <m:sSub>
            <m:e>
              <m:r>
                <m:t xml:space="preserve">E</m:t>
              </m:r>
            </m:e>
            <m:sub>
              <m:r>
                <m:t xml:space="preserve">1</m:t>
              </m:r>
            </m:sub>
          </m:sSub>
          <m:r>
            <m:t xml:space="preserve">&gt;</m:t>
          </m:r>
          <m:f>
            <m:num>
              <m:r>
                <m:t xml:space="preserve">1</m:t>
              </m:r>
            </m:num>
            <m:den>
              <m:rad>
                <m:radPr>
                  <m:degHide m:val="1"/>
                </m:radPr>
                <m:deg/>
                <m:e>
                  <m:r>
                    <m:t xml:space="preserve">2</m:t>
                  </m:r>
                </m:e>
              </m:rad>
            </m:den>
          </m:f>
          <m:r>
            <m:t xml:space="preserve">∨</m:t>
          </m:r>
          <m:r>
            <m:t xml:space="preserve">1</m:t>
          </m:r>
          <m:r>
            <m:t xml:space="preserve">&gt;</m:t>
          </m:r>
          <m:f>
            <m:num>
              <m:r>
                <m:t xml:space="preserve">+</m:t>
              </m:r>
              <m:r>
                <m:t xml:space="preserve">1</m:t>
              </m:r>
            </m:num>
            <m:den>
              <m:rad>
                <m:radPr>
                  <m:degHide m:val="1"/>
                </m:radPr>
                <m:deg/>
                <m:e>
                  <m:r>
                    <m:t xml:space="preserve">2</m:t>
                  </m:r>
                </m:e>
              </m:rad>
            </m:den>
          </m:f>
          <m:r>
            <m:t xml:space="preserve">∨</m:t>
          </m:r>
          <m:r>
            <m:t xml:space="preserve">2</m:t>
          </m:r>
          <m:r>
            <m:t xml:space="preserve">&gt;</m:t>
          </m:r>
          <m:r>
            <m:t xml:space="preserve">.</m:t>
          </m:r>
        </m:oMath>
      </m:oMathPara>
    </w:p>
    <w:p>
      <w:pPr>
        <w:pStyle w:val="body"/>
        <w:shd w:val="clear" w:color="auto" w:fill="FFFFFF"/>
        <w:spacing w:lineRule="atLeast" w:line="270" w:beforeAutospacing="0" w:before="0" w:after="280"/>
        <w:jc w:val="both"/>
        <w:rPr>
          <w:color w:val="3B3A39"/>
        </w:rPr>
      </w:pPr>
      <w:r>
        <w:rPr>
          <w:color w:val="3B3A39"/>
        </w:rPr>
        <w:t xml:space="preserve">We get </w:t>
      </w:r>
    </w:p>
    <w:p>
      <w:pPr>
        <w:pStyle w:val="body"/>
        <w:shd w:val="clear" w:color="auto" w:fill="FFFFFF"/>
        <w:spacing w:lineRule="atLeast" w:line="270" w:beforeAutospacing="0" w:before="0" w:after="280"/>
        <w:jc w:val="center"/>
        <w:rPr>
          <w:color w:val="3B3A39"/>
        </w:rPr>
      </w:pPr>
      <w:r>
        <w:rPr/>
      </w:r>
      <m:oMathPara xmlns:m="http://schemas.openxmlformats.org/officeDocument/2006/math">
        <m:oMathParaPr>
          <m:jc m:val="center"/>
        </m:oMathParaPr>
        <m:oMath>
          <m:sSub>
            <m:e>
              <m:r>
                <m:t xml:space="preserve">E</m:t>
              </m:r>
            </m:e>
            <m:sub>
              <m:r>
                <m:t xml:space="preserve">1</m:t>
              </m:r>
            </m:sub>
          </m:sSub>
          <m:d>
            <m:dPr>
              <m:begChr m:val="|"/>
              <m:endChr m:val="|"/>
            </m:dPr>
            <m:e>
              <m:r>
                <m:t xml:space="preserve">ψ</m:t>
              </m:r>
              <m:d>
                <m:dPr>
                  <m:begChr m:val="("/>
                  <m:endChr m:val=")"/>
                </m:dPr>
                <m:e>
                  <m:r>
                    <m:t xml:space="preserve">0</m:t>
                  </m:r>
                </m:e>
              </m:d>
              <m:r>
                <m:t xml:space="preserve">&gt;</m:t>
              </m:r>
              <m:sSub>
                <m:e>
                  <m:r>
                    <m:t xml:space="preserve">E</m:t>
                  </m:r>
                </m:e>
                <m:sub>
                  <m:r>
                    <m:t xml:space="preserve">1</m:t>
                  </m:r>
                </m:sub>
              </m:sSub>
            </m:e>
          </m:d>
        </m:oMath>
      </m:oMathPara>
    </w:p>
    <w:p>
      <w:pPr>
        <w:pStyle w:val="body"/>
        <w:shd w:val="clear" w:color="auto" w:fill="FFFFFF"/>
        <w:spacing w:lineRule="atLeast" w:line="270" w:beforeAutospacing="0" w:before="0" w:after="280"/>
        <w:ind w:firstLine="720" w:start="2880"/>
        <w:rPr>
          <w:color w:val="3B3A39"/>
        </w:rPr>
      </w:pPr>
      <w:r>
        <w:rPr>
          <w:color w:val="3B3A39"/>
        </w:rPr>
        <w:t>=</w:t>
      </w:r>
      <w:r>
        <w:rPr/>
      </w:r>
      <m:oMath xmlns:m="http://schemas.openxmlformats.org/officeDocument/2006/math">
        <m:d>
          <m:dPr>
            <m:begChr m:val="["/>
            <m:endChr m:val="]"/>
          </m:dPr>
          <m:e>
            <m:r>
              <m:t xml:space="preserve">1</m:t>
            </m:r>
            <m:d>
              <m:dPr>
                <m:begChr m:val="|"/>
                <m:endChr m:val="|"/>
              </m:dPr>
              <m:e>
                <m:f>
                  <m:num>
                    <m:r>
                      <m:t xml:space="preserve">1</m:t>
                    </m:r>
                  </m:num>
                  <m:den>
                    <m:rad>
                      <m:radPr>
                        <m:degHide m:val="1"/>
                      </m:radPr>
                      <m:deg/>
                      <m:e>
                        <m:r>
                          <m:t xml:space="preserve">2</m:t>
                        </m:r>
                      </m:e>
                    </m:rad>
                  </m:den>
                </m:f>
                <m:r>
                  <m:t xml:space="preserve">+</m:t>
                </m:r>
                <m:r>
                  <m:t xml:space="preserve">2</m:t>
                </m:r>
              </m:e>
            </m:d>
            <m:f>
              <m:num>
                <m:r>
                  <m:t xml:space="preserve">1</m:t>
                </m:r>
              </m:num>
              <m:den>
                <m:rad>
                  <m:radPr>
                    <m:degHide m:val="1"/>
                  </m:radPr>
                  <m:deg/>
                  <m:e>
                    <m:r>
                      <m:t xml:space="preserve">2</m:t>
                    </m:r>
                  </m:e>
                </m:rad>
              </m:den>
            </m:f>
          </m:e>
        </m:d>
      </m:oMath>
    </w:p>
    <w:p>
      <w:pPr>
        <w:pStyle w:val="body"/>
        <w:shd w:val="clear" w:color="auto" w:fill="FFFFFF"/>
        <w:spacing w:lineRule="atLeast" w:line="270" w:beforeAutospacing="0" w:before="0" w:after="280"/>
        <w:ind w:firstLine="720" w:start="2880"/>
        <w:rPr>
          <w:color w:val="3B3A39"/>
        </w:rPr>
      </w:pPr>
      <w:r>
        <w:rPr>
          <w:color w:val="3B3A39"/>
        </w:rPr>
        <w:t>=</w:t>
      </w:r>
      <w:r>
        <w:rPr/>
      </w:r>
      <m:oMath xmlns:m="http://schemas.openxmlformats.org/officeDocument/2006/math">
        <m:f>
          <m:num>
            <m:r>
              <m:t xml:space="preserve">1</m:t>
            </m:r>
          </m:num>
          <m:den>
            <m:r>
              <m:t xml:space="preserve">2</m:t>
            </m:r>
          </m:den>
        </m:f>
      </m:oMath>
    </w:p>
    <w:p>
      <w:pPr>
        <w:pStyle w:val="body"/>
        <w:shd w:val="clear" w:color="auto" w:fill="FFFFFF"/>
        <w:spacing w:lineRule="atLeast" w:line="270" w:beforeAutospacing="0" w:before="0" w:after="280"/>
        <w:ind w:firstLine="720" w:start="2880"/>
        <w:rPr>
          <w:color w:val="3B3A39"/>
        </w:rPr>
      </w:pPr>
      <w:r>
        <w:rPr>
          <w:color w:val="3B3A39"/>
        </w:rPr>
        <w:t>=</w:t>
      </w:r>
      <w:r>
        <w:rPr/>
      </w:r>
      <m:oMath xmlns:m="http://schemas.openxmlformats.org/officeDocument/2006/math">
        <m:f>
          <m:num>
            <m:r>
              <m:t xml:space="preserve">1</m:t>
            </m:r>
          </m:num>
          <m:den>
            <m:r>
              <m:t xml:space="preserve">2</m:t>
            </m:r>
          </m:den>
        </m:f>
        <m:d>
          <m:dPr>
            <m:begChr m:val="["/>
            <m:endChr m:val="]"/>
          </m:dPr>
          <m:e>
            <m:r>
              <m:t xml:space="preserve">1</m:t>
            </m:r>
            <m:r>
              <m:t xml:space="preserve">+</m:t>
            </m:r>
            <m:r>
              <m:t xml:space="preserve">i</m:t>
            </m:r>
          </m:e>
        </m:d>
      </m:oMath>
    </w:p>
    <w:p>
      <w:pPr>
        <w:sectPr>
          <w:type w:val="continuous"/>
          <w:pgSz w:w="12240" w:h="15840"/>
          <w:pgMar w:left="1440" w:right="450" w:gutter="0" w:header="864" w:top="1440" w:footer="720" w:bottom="1440"/>
          <w:formProt w:val="false"/>
          <w:textDirection w:val="lrTb"/>
          <w:docGrid w:type="default" w:linePitch="360" w:charSpace="0"/>
        </w:sectPr>
      </w:pP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We may then get back to two column format and continue with the text such as we are doing here. The phenomenon of cold emission of light is known as luminescence. Scientifically, luminescence is the non-equilibrium phenomenon of excess emission over and above the thermal emission of a body, in which emission has a duration considerably exceeding the period of light oscillations (1-4). Although excess emission over and above the thermal background takes place in reflected and refracted light, Rayleigh and Raman scattering, and in Cerenknov and laser radiation, they are not the phenomenon of luminescence as the emission durations is these phenomena are of the order of the period of light oscillations, which is order of 10</w:t>
      </w:r>
      <w:r>
        <w:rPr>
          <w:rFonts w:eastAsia="Times New Roman" w:cs="Times New Roman" w:ascii="Times New Roman" w:hAnsi="Times New Roman"/>
          <w:color w:val="000000"/>
          <w:sz w:val="24"/>
          <w:szCs w:val="24"/>
          <w:vertAlign w:val="superscript"/>
        </w:rPr>
        <w:t>-14</w:t>
      </w:r>
      <w:r>
        <w:rPr>
          <w:rFonts w:eastAsia="Times New Roman" w:cs="Times New Roman" w:ascii="Times New Roman" w:hAnsi="Times New Roman"/>
          <w:color w:val="000000"/>
          <w:sz w:val="24"/>
          <w:szCs w:val="24"/>
        </w:rPr>
        <w:t xml:space="preserve"> to 10</w:t>
      </w:r>
      <w:r>
        <w:rPr>
          <w:rFonts w:eastAsia="Times New Roman" w:cs="Times New Roman" w:ascii="Times New Roman" w:hAnsi="Times New Roman"/>
          <w:color w:val="000000"/>
          <w:sz w:val="24"/>
          <w:szCs w:val="24"/>
          <w:vertAlign w:val="superscript"/>
        </w:rPr>
        <w:t>-15</w:t>
      </w:r>
      <w:r>
        <w:rPr>
          <w:rFonts w:eastAsia="Times New Roman" w:cs="Times New Roman" w:ascii="Times New Roman" w:hAnsi="Times New Roman"/>
          <w:color w:val="000000"/>
          <w:sz w:val="24"/>
          <w:szCs w:val="24"/>
        </w:rPr>
        <w:t xml:space="preserve"> s. </w:t>
      </w:r>
      <w:r>
        <w:rPr>
          <w:rFonts w:cs="Times New Roman" w:ascii="Times New Roman" w:hAnsi="Times New Roman"/>
          <w:color w:val="000000"/>
          <w:sz w:val="24"/>
          <w:szCs w:val="24"/>
        </w:rPr>
        <w:t xml:space="preserve">Luminescence is related to the basic science as well as to the applied science industry and technology finds several applications in domestic appliances. </w:t>
      </w:r>
    </w:p>
    <w:p>
      <w:pPr>
        <w:sectPr>
          <w:type w:val="continuous"/>
          <w:pgSz w:w="12240" w:h="15840"/>
          <w:pgMar w:left="1440" w:right="450" w:gutter="0" w:header="864" w:top="1440" w:footer="720" w:bottom="1440"/>
          <w:cols w:num="2" w:space="720" w:equalWidth="true" w:sep="false"/>
          <w:formProt w:val="false"/>
          <w:textDirection w:val="lrTb"/>
          <w:docGrid w:type="default" w:linePitch="360" w:charSpace="0"/>
        </w:sectPr>
      </w:pPr>
    </w:p>
    <w:p>
      <w:pPr>
        <w:pStyle w:val="Normal"/>
        <w:spacing w:before="0" w:after="0"/>
        <w:jc w:val="both"/>
        <w:rPr>
          <w:color w:val="000000"/>
        </w:rPr>
      </w:pPr>
      <w:r>
        <w:rPr>
          <w:color w:val="000000"/>
        </w:rPr>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We may want to now insert a table and hence get back to single column format:</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Style w:val="TableGrid"/>
        <w:tblW w:w="8910" w:type="dxa"/>
        <w:jc w:val="start"/>
        <w:tblInd w:w="558" w:type="dxa"/>
        <w:tblLayout w:type="fixed"/>
        <w:tblCellMar>
          <w:top w:w="0" w:type="dxa"/>
          <w:start w:w="108" w:type="dxa"/>
          <w:bottom w:w="0" w:type="dxa"/>
          <w:end w:w="108" w:type="dxa"/>
        </w:tblCellMar>
        <w:tblLook w:val="04a0" w:noHBand="0" w:noVBand="1" w:firstColumn="1" w:lastRow="0" w:lastColumn="0" w:firstRow="1"/>
      </w:tblPr>
      <w:tblGrid>
        <w:gridCol w:w="1530"/>
        <w:gridCol w:w="1534"/>
        <w:gridCol w:w="1531"/>
        <w:gridCol w:w="1535"/>
        <w:gridCol w:w="1531"/>
        <w:gridCol w:w="1248"/>
      </w:tblGrid>
      <w:tr>
        <w:trPr/>
        <w:tc>
          <w:tcPr>
            <w:tcW w:w="1530"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Variable</w:t>
            </w:r>
          </w:p>
        </w:tc>
        <w:tc>
          <w:tcPr>
            <w:tcW w:w="1534"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Force</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Energy</w:t>
            </w:r>
          </w:p>
        </w:tc>
        <w:tc>
          <w:tcPr>
            <w:tcW w:w="1535"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Pressure</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Power</w:t>
            </w:r>
          </w:p>
        </w:tc>
        <w:tc>
          <w:tcPr>
            <w:tcW w:w="1248"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Viscosity</w:t>
            </w:r>
          </w:p>
        </w:tc>
      </w:tr>
      <w:tr>
        <w:trPr/>
        <w:tc>
          <w:tcPr>
            <w:tcW w:w="1530"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MKS Unit</w:t>
            </w:r>
          </w:p>
        </w:tc>
        <w:tc>
          <w:tcPr>
            <w:tcW w:w="1534"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Newton</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Joule</w:t>
            </w:r>
          </w:p>
        </w:tc>
        <w:tc>
          <w:tcPr>
            <w:tcW w:w="1535"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Pascal</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Watt</w:t>
            </w:r>
          </w:p>
        </w:tc>
        <w:tc>
          <w:tcPr>
            <w:tcW w:w="1248"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Stokes</w:t>
            </w:r>
          </w:p>
        </w:tc>
      </w:tr>
      <w:tr>
        <w:trPr/>
        <w:tc>
          <w:tcPr>
            <w:tcW w:w="1530"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Dimension</w:t>
            </w:r>
          </w:p>
        </w:tc>
        <w:tc>
          <w:tcPr>
            <w:tcW w:w="1534"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MLT</w:t>
            </w:r>
            <w:r>
              <w:rPr>
                <w:rFonts w:eastAsia="" w:cs="Times New Roman" w:ascii="Times New Roman" w:hAnsi="Times New Roman"/>
                <w:color w:val="000000"/>
                <w:kern w:val="0"/>
                <w:sz w:val="24"/>
                <w:szCs w:val="24"/>
                <w:vertAlign w:val="superscript"/>
                <w:lang w:val="en-US" w:eastAsia="en-US" w:bidi="ar-SA"/>
              </w:rPr>
              <w:t>-2</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ML</w:t>
            </w:r>
            <w:r>
              <w:rPr>
                <w:rFonts w:eastAsia="" w:cs="Times New Roman" w:ascii="Times New Roman" w:hAnsi="Times New Roman"/>
                <w:color w:val="000000"/>
                <w:kern w:val="0"/>
                <w:sz w:val="24"/>
                <w:szCs w:val="24"/>
                <w:vertAlign w:val="superscript"/>
                <w:lang w:val="en-US" w:eastAsia="en-US" w:bidi="ar-SA"/>
              </w:rPr>
              <w:t>2</w:t>
            </w:r>
            <w:r>
              <w:rPr>
                <w:rFonts w:eastAsia="" w:cs="Times New Roman" w:ascii="Times New Roman" w:hAnsi="Times New Roman"/>
                <w:color w:val="000000"/>
                <w:kern w:val="0"/>
                <w:sz w:val="24"/>
                <w:szCs w:val="24"/>
                <w:lang w:val="en-US" w:eastAsia="en-US" w:bidi="ar-SA"/>
              </w:rPr>
              <w:t>T</w:t>
            </w:r>
            <w:r>
              <w:rPr>
                <w:rFonts w:eastAsia="" w:cs="Times New Roman" w:ascii="Times New Roman" w:hAnsi="Times New Roman"/>
                <w:color w:val="000000"/>
                <w:kern w:val="0"/>
                <w:sz w:val="24"/>
                <w:szCs w:val="24"/>
                <w:vertAlign w:val="superscript"/>
                <w:lang w:val="en-US" w:eastAsia="en-US" w:bidi="ar-SA"/>
              </w:rPr>
              <w:t>-2</w:t>
            </w:r>
          </w:p>
        </w:tc>
        <w:tc>
          <w:tcPr>
            <w:tcW w:w="1535"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vertAlign w:val="superscript"/>
              </w:rPr>
            </w:pPr>
            <w:r>
              <w:rPr>
                <w:rFonts w:eastAsia="" w:cs="Times New Roman" w:ascii="Times New Roman" w:hAnsi="Times New Roman"/>
                <w:color w:val="000000"/>
                <w:kern w:val="0"/>
                <w:sz w:val="24"/>
                <w:szCs w:val="24"/>
                <w:lang w:val="en-US" w:eastAsia="en-US" w:bidi="ar-SA"/>
              </w:rPr>
              <w:t>ML</w:t>
            </w:r>
            <w:r>
              <w:rPr>
                <w:rFonts w:eastAsia="" w:cs="Times New Roman" w:ascii="Times New Roman" w:hAnsi="Times New Roman"/>
                <w:color w:val="000000"/>
                <w:kern w:val="0"/>
                <w:sz w:val="24"/>
                <w:szCs w:val="24"/>
                <w:vertAlign w:val="superscript"/>
                <w:lang w:val="en-US" w:eastAsia="en-US" w:bidi="ar-SA"/>
              </w:rPr>
              <w:t>-1</w:t>
            </w:r>
            <w:r>
              <w:rPr>
                <w:rFonts w:eastAsia="" w:cs="Times New Roman" w:ascii="Times New Roman" w:hAnsi="Times New Roman"/>
                <w:color w:val="000000"/>
                <w:kern w:val="0"/>
                <w:sz w:val="24"/>
                <w:szCs w:val="24"/>
                <w:lang w:val="en-US" w:eastAsia="en-US" w:bidi="ar-SA"/>
              </w:rPr>
              <w:t>T</w:t>
            </w:r>
            <w:r>
              <w:rPr>
                <w:rFonts w:eastAsia="" w:cs="Times New Roman" w:ascii="Times New Roman" w:hAnsi="Times New Roman"/>
                <w:color w:val="000000"/>
                <w:kern w:val="0"/>
                <w:sz w:val="24"/>
                <w:szCs w:val="24"/>
                <w:vertAlign w:val="superscript"/>
                <w:lang w:val="en-US" w:eastAsia="en-US" w:bidi="ar-SA"/>
              </w:rPr>
              <w:t>-2</w:t>
            </w:r>
          </w:p>
        </w:tc>
        <w:tc>
          <w:tcPr>
            <w:tcW w:w="1531"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en-US" w:eastAsia="en-US" w:bidi="ar-SA"/>
              </w:rPr>
              <w:t>ML</w:t>
            </w:r>
            <w:r>
              <w:rPr>
                <w:rFonts w:eastAsia="" w:cs="Times New Roman" w:ascii="Times New Roman" w:hAnsi="Times New Roman"/>
                <w:color w:val="000000"/>
                <w:kern w:val="0"/>
                <w:sz w:val="24"/>
                <w:szCs w:val="24"/>
                <w:vertAlign w:val="superscript"/>
                <w:lang w:val="en-US" w:eastAsia="en-US" w:bidi="ar-SA"/>
              </w:rPr>
              <w:t>2</w:t>
            </w:r>
            <w:r>
              <w:rPr>
                <w:rFonts w:eastAsia="" w:cs="Times New Roman" w:ascii="Times New Roman" w:hAnsi="Times New Roman"/>
                <w:color w:val="000000"/>
                <w:kern w:val="0"/>
                <w:sz w:val="24"/>
                <w:szCs w:val="24"/>
                <w:lang w:val="en-US" w:eastAsia="en-US" w:bidi="ar-SA"/>
              </w:rPr>
              <w:t>T</w:t>
            </w:r>
            <w:r>
              <w:rPr>
                <w:rFonts w:eastAsia="" w:cs="Times New Roman" w:ascii="Times New Roman" w:hAnsi="Times New Roman"/>
                <w:color w:val="000000"/>
                <w:kern w:val="0"/>
                <w:sz w:val="24"/>
                <w:szCs w:val="24"/>
                <w:vertAlign w:val="superscript"/>
                <w:lang w:val="en-US" w:eastAsia="en-US" w:bidi="ar-SA"/>
              </w:rPr>
              <w:t>-3</w:t>
            </w:r>
          </w:p>
        </w:tc>
        <w:tc>
          <w:tcPr>
            <w:tcW w:w="1248" w:type="dxa"/>
            <w:tcBorders/>
          </w:tcPr>
          <w:p>
            <w:pPr>
              <w:pStyle w:val="Normal"/>
              <w:widowControl/>
              <w:suppressAutoHyphens w:val="true"/>
              <w:spacing w:lineRule="auto" w:line="240" w:before="0" w:after="0"/>
              <w:jc w:val="center"/>
              <w:rPr>
                <w:rFonts w:ascii="Times New Roman" w:hAnsi="Times New Roman" w:cs="Times New Roman"/>
                <w:color w:val="000000"/>
                <w:sz w:val="24"/>
                <w:szCs w:val="24"/>
                <w:vertAlign w:val="superscript"/>
              </w:rPr>
            </w:pPr>
            <w:r>
              <w:rPr>
                <w:rFonts w:eastAsia="" w:cs="Times New Roman" w:ascii="Times New Roman" w:hAnsi="Times New Roman"/>
                <w:color w:val="000000"/>
                <w:kern w:val="0"/>
                <w:sz w:val="24"/>
                <w:szCs w:val="24"/>
                <w:lang w:val="en-US" w:eastAsia="en-US" w:bidi="ar-SA"/>
              </w:rPr>
              <w:t>L</w:t>
            </w:r>
            <w:r>
              <w:rPr>
                <w:rFonts w:eastAsia="" w:cs="Times New Roman" w:ascii="Times New Roman" w:hAnsi="Times New Roman"/>
                <w:color w:val="000000"/>
                <w:kern w:val="0"/>
                <w:sz w:val="24"/>
                <w:szCs w:val="24"/>
                <w:vertAlign w:val="superscript"/>
                <w:lang w:val="en-US" w:eastAsia="en-US" w:bidi="ar-SA"/>
              </w:rPr>
              <w:t>2</w:t>
            </w:r>
            <w:r>
              <w:rPr>
                <w:rFonts w:eastAsia="" w:cs="Times New Roman" w:ascii="Times New Roman" w:hAnsi="Times New Roman"/>
                <w:color w:val="000000"/>
                <w:kern w:val="0"/>
                <w:sz w:val="24"/>
                <w:szCs w:val="24"/>
                <w:lang w:val="en-US" w:eastAsia="en-US" w:bidi="ar-SA"/>
              </w:rPr>
              <w:t>T</w:t>
            </w:r>
            <w:r>
              <w:rPr>
                <w:rFonts w:eastAsia="" w:cs="Times New Roman" w:ascii="Times New Roman" w:hAnsi="Times New Roman"/>
                <w:color w:val="000000"/>
                <w:kern w:val="0"/>
                <w:sz w:val="24"/>
                <w:szCs w:val="24"/>
                <w:vertAlign w:val="superscript"/>
                <w:lang w:val="en-US" w:eastAsia="en-US" w:bidi="ar-SA"/>
              </w:rPr>
              <w:t>-3</w:t>
            </w:r>
          </w:p>
        </w:tc>
      </w:tr>
    </w:tbl>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sectPr>
          <w:type w:val="continuous"/>
          <w:pgSz w:w="12240" w:h="15840"/>
          <w:pgMar w:left="1440" w:right="450" w:gutter="0" w:header="864" w:top="1440" w:footer="720" w:bottom="1440"/>
          <w:formProt w:val="false"/>
          <w:textDirection w:val="lrTb"/>
          <w:docGrid w:type="default" w:linePitch="360" w:charSpace="0"/>
        </w:sectPr>
      </w:pP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Degeneracy pressure is a consequence of quantum statistics in extremely dense matter. Pauli exclusion principle (PEP) states that no two identical fermions can have the  same state. Electrons, protons, neutrons, neutrinos, etc., being spin half particles, are fermions. According to PEP, in a   gravitationally bound system like the iron-rich core of an evolved  star,  all the electrons cannot occupy   the lowest energy level (unlike, what happens to identical bosons in Bose-Einstein condensates, e.g. He-4 superfluid). So, the energy levels are filled up with two electrons   (one with spin up state and the other with spin down) per orbital, as demanded by the PEP. Hence, more the density of electrons, higher is the energy level that gets to be occupied.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You may continue with further content of the paper: Gravitational shrinking of such a dense core leads  to an increase in electron density, thereby facing a resistance since the contraction implies  putting electrons at higher energy levels. Therefore, in such a degenerate system, gravitational collapse instead of lowering the energy of the star tends to increase it. The resulting pressure against shrinking,  arising out of PEP in such electron-rich dense matter is called electron degeneracy pressure (EDP).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A white dwarf is a star that exists in hydrostatic   equilibrium not because of thermal pressure but  due to the EDP  that counteracts gravitational   contraction. Fowler had assumed that electrons are moving non-relativistically inside the core and  had shown  that the EDP  of a white dwarf is proportional to </w:t>
      </w:r>
      <w:r>
        <w:rPr/>
      </w:r>
      <m:oMath xmlns:m="http://schemas.openxmlformats.org/officeDocument/2006/math">
        <m:sSup>
          <m:e>
            <m:r>
              <m:t xml:space="preserve">ρ</m:t>
            </m:r>
          </m:e>
          <m:sup>
            <m:f>
              <m:fPr>
                <m:type m:val="lin"/>
              </m:fPr>
              <m:num>
                <m:r>
                  <m:t xml:space="preserve">5</m:t>
                </m:r>
              </m:num>
              <m:den>
                <m:r>
                  <m:t xml:space="preserve">3</m:t>
                </m:r>
              </m:den>
            </m:f>
          </m:sup>
        </m:sSup>
      </m:oMath>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where</w:t>
      </w:r>
      <w:r>
        <w:rPr>
          <w:rFonts w:eastAsia="Times New Roman" w:cs="Times New Roman" w:ascii="Times New Roman" w:hAnsi="Times New Roman"/>
          <w:sz w:val="24"/>
          <w:szCs w:val="24"/>
        </w:rPr>
        <w:t xml:space="preserve"> ρ </w:t>
      </w:r>
      <w:r>
        <w:rPr>
          <w:rFonts w:eastAsia="Times New Roman" w:cs="Times New Roman" w:ascii="Times New Roman" w:hAnsi="Times New Roman"/>
          <w:color w:val="000000"/>
          <w:sz w:val="24"/>
          <w:szCs w:val="24"/>
        </w:rPr>
        <w:t xml:space="preserve">is the density of the core.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Chandra was unaware initially  that Anderson in 1929 and Stoner in 1930 had independently  applied special relativity to obtain mass limits for a degenerate, dense star of uniform density without taking into account the condition of hydrostatic equilibrium. Fowler pointed this out to him when Chandra reached Cambridge, and he added these references to his papers on relativistic degeneracy in white dwarf stars [3]. Landau too had arrived at a mass limit independently in 1931, which appeared in print one year later.</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You may wish to introduce a figure with accompanying figure caption, when they can both fit in one column, like here.</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before="0" w:after="0"/>
        <w:jc w:val="both"/>
        <w:rPr>
          <w:rFonts w:ascii="Times New Roman" w:hAnsi="Times New Roman" w:eastAsia="Times New Roman" w:cs="Times New Roman"/>
          <w:color w:val="000000"/>
          <w:sz w:val="24"/>
          <w:szCs w:val="24"/>
        </w:rPr>
      </w:pPr>
      <w:r>
        <w:rPr/>
        <w:drawing>
          <wp:inline distT="0" distB="0" distL="0" distR="0">
            <wp:extent cx="3108960" cy="2333625"/>
            <wp:effectExtent l="0" t="0" r="0" b="0"/>
            <wp:docPr id="7" name="Picture 6" descr="F:\trglatexexpt\fig1.jp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trglatexexpt\fig1.jpg" title=""/>
                    <pic:cNvPicPr>
                      <a:picLocks noChangeAspect="1" noChangeArrowheads="1"/>
                    </pic:cNvPicPr>
                  </pic:nvPicPr>
                  <pic:blipFill>
                    <a:blip r:embed="rId8"/>
                    <a:stretch>
                      <a:fillRect/>
                    </a:stretch>
                  </pic:blipFill>
                  <pic:spPr bwMode="auto">
                    <a:xfrm>
                      <a:off x="0" y="0"/>
                      <a:ext cx="3108960" cy="2333625"/>
                    </a:xfrm>
                    <a:prstGeom prst="rect">
                      <a:avLst/>
                    </a:prstGeom>
                    <a:noFill/>
                  </pic:spPr>
                </pic:pic>
              </a:graphicData>
            </a:graphic>
          </wp:inline>
        </w:drawing>
      </w:r>
      <w:bookmarkStart w:id="0" w:name="_GoBack"/>
      <w:bookmarkEnd w:id="0"/>
    </w:p>
    <w:p>
      <w:pPr>
        <w:pStyle w:val="Normal"/>
        <w:spacing w:lineRule="auto" w:line="240" w:before="0" w:after="0"/>
        <w:jc w:val="center"/>
        <w:rPr>
          <w:rFonts w:cs="Calibri" w:cstheme="minorHAnsi"/>
          <w:sz w:val="18"/>
          <w:szCs w:val="18"/>
        </w:rPr>
      </w:pPr>
      <w:r>
        <w:rPr>
          <w:rFonts w:cs="Calibri" w:cstheme="minorHAnsi"/>
          <w:sz w:val="18"/>
          <w:szCs w:val="18"/>
        </w:rPr>
        <w:t>FIG. 1: A view of the grains in the crops. Correlate this with</w:t>
      </w:r>
    </w:p>
    <w:p>
      <w:pPr>
        <w:pStyle w:val="Normal"/>
        <w:spacing w:before="0" w:after="0"/>
        <w:jc w:val="center"/>
        <w:rPr>
          <w:rFonts w:eastAsia="Times New Roman" w:cs="Calibri" w:cstheme="minorHAnsi"/>
          <w:color w:val="000000"/>
          <w:sz w:val="20"/>
          <w:szCs w:val="20"/>
        </w:rPr>
      </w:pPr>
      <w:r>
        <w:rPr>
          <w:rFonts w:cs="Calibri" w:cstheme="minorHAnsi"/>
          <w:sz w:val="18"/>
          <w:szCs w:val="18"/>
        </w:rPr>
        <w:t>Eq. (1) above.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The Chandrasekhar mass limit implies that no white dwarf with mass greater than this limit can hold out against gravitational collapse. So far, all the white dwarfs discovered (e.g. Sirius B, the companion star to Sirius) in the cosmos, have mass less than </w:t>
      </w:r>
      <w:r>
        <w:rPr>
          <w:rFonts w:eastAsia="Times New Roman" w:cs="Times New Roman" w:ascii="Times New Roman" w:hAnsi="Times New Roman"/>
          <w:i/>
          <w:sz w:val="24"/>
          <w:szCs w:val="24"/>
        </w:rPr>
        <w:t>M</w:t>
      </w:r>
      <w:r>
        <w:rPr>
          <w:rFonts w:eastAsia="Times New Roman" w:cs="Times New Roman" w:ascii="Times New Roman" w:hAnsi="Times New Roman"/>
          <w:i/>
          <w:sz w:val="24"/>
          <w:szCs w:val="24"/>
          <w:vertAlign w:val="subscript"/>
        </w:rPr>
        <w:t xml:space="preserve">CH </w:t>
      </w:r>
      <w:r>
        <w:rPr>
          <w:rFonts w:eastAsia="Times New Roman" w:cs="Times New Roman" w:ascii="Times New Roman" w:hAnsi="Times New Roman"/>
          <w:color w:val="000000"/>
          <w:sz w:val="24"/>
          <w:szCs w:val="24"/>
        </w:rPr>
        <w:t xml:space="preserve">.  For masses beyond this limit, two prescient ideas were put forward independently, that played important roles later - one of Landau, before the discovery of neutrons by Chadwick in 1932 and the other by Baade and Zwicky, after the discovery.  Landau had speculated that for stellar cores whose mass exceeded </w:t>
      </w:r>
      <w:r>
        <w:rPr>
          <w:rFonts w:eastAsia="Times New Roman" w:cs="Times New Roman" w:ascii="Times New Roman" w:hAnsi="Times New Roman"/>
          <w:i/>
          <w:sz w:val="24"/>
          <w:szCs w:val="24"/>
        </w:rPr>
        <w:t>M</w:t>
      </w:r>
      <w:r>
        <w:rPr>
          <w:rFonts w:eastAsia="Times New Roman" w:cs="Times New Roman" w:ascii="Times New Roman" w:hAnsi="Times New Roman"/>
          <w:i/>
          <w:sz w:val="24"/>
          <w:szCs w:val="24"/>
          <w:vertAlign w:val="subscript"/>
        </w:rPr>
        <w:t>CH</w:t>
      </w:r>
      <w:r>
        <w:rPr>
          <w:rFonts w:eastAsia="Times New Roman" w:cs="Times New Roman" w:ascii="Times New Roman" w:hAnsi="Times New Roman"/>
          <w:color w:val="000000"/>
          <w:sz w:val="24"/>
          <w:szCs w:val="24"/>
        </w:rPr>
        <w:t xml:space="preserve">, the density  would become so large due to  shrinking that the atomic nuclei in the core would come in contact with each other - the whole core turning into a giant nucleus. Baade and Zwicky, while attributing the origin of cosmic rays to  stellar  explosions called supernovae, correctly identified the energy liberated due to sudden decrease in the gravitational potential energy (as the core collapses rapidly to  form a neutron star of radius </w:t>
      </w:r>
      <w:r>
        <w:rPr>
          <w:rFonts w:eastAsia="Times New Roman" w:cs="Times New Roman" w:ascii="Times New Roman" w:hAnsi="Times New Roman"/>
          <w:sz w:val="24"/>
          <w:szCs w:val="24"/>
        </w:rPr>
        <w:t xml:space="preserve">~ 10  </w:t>
      </w:r>
      <w:r>
        <w:rPr>
          <w:rFonts w:eastAsia="Times New Roman" w:cs="Times New Roman" w:ascii="Times New Roman" w:hAnsi="Times New Roman"/>
          <w:color w:val="000000"/>
          <w:sz w:val="24"/>
          <w:szCs w:val="24"/>
        </w:rPr>
        <w:t xml:space="preserve">km) as the one that powers supernova explosion. </w:t>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b/>
          <w:sz w:val="32"/>
          <w:szCs w:val="32"/>
        </w:rPr>
      </w:pPr>
      <w:r>
        <w:rPr>
          <w:b/>
          <w:sz w:val="32"/>
          <w:szCs w:val="32"/>
        </w:rPr>
        <w:t>Acknowlegements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The authors thank all those who helped them in this work. AA acknowledges financial grant by DAE's BRNS for the project on “Heuristic Studies in Quantum many body systems” and BA thanks CSIR for the Senior Research Fellowship.</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References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 A. Einstein, Phys. Rev. </w:t>
      </w:r>
      <w:r>
        <w:rPr>
          <w:rFonts w:cs="Times New Roman" w:ascii="Times New Roman" w:hAnsi="Times New Roman"/>
          <w:b/>
          <w:sz w:val="24"/>
          <w:szCs w:val="24"/>
        </w:rPr>
        <w:t>24</w:t>
      </w:r>
      <w:r>
        <w:rPr>
          <w:rFonts w:cs="Times New Roman" w:ascii="Times New Roman" w:hAnsi="Times New Roman"/>
          <w:sz w:val="24"/>
          <w:szCs w:val="24"/>
        </w:rPr>
        <w:t>, 1243 (1932).</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 S. N. Bose, </w:t>
      </w:r>
      <w:r>
        <w:rPr>
          <w:rFonts w:cs="Times New Roman" w:ascii="Times New Roman" w:hAnsi="Times New Roman"/>
          <w:i/>
          <w:sz w:val="24"/>
          <w:szCs w:val="24"/>
        </w:rPr>
        <w:t>Physics and Combinatorics</w:t>
      </w:r>
      <w:r>
        <w:rPr>
          <w:rFonts w:cs="Times New Roman" w:ascii="Times New Roman" w:hAnsi="Times New Roman"/>
          <w:sz w:val="24"/>
          <w:szCs w:val="24"/>
        </w:rPr>
        <w:t>, (Cambridge University Press, 1934).</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[3] S. </w:t>
      </w:r>
      <w:r>
        <w:rPr>
          <w:rFonts w:cs="Times New Roman" w:ascii="Times New Roman" w:hAnsi="Times New Roman"/>
          <w:color w:val="000000"/>
          <w:sz w:val="24"/>
          <w:szCs w:val="24"/>
        </w:rPr>
        <w:t xml:space="preserve">Chandrasekhar, The Observatory </w:t>
      </w:r>
      <w:r>
        <w:rPr>
          <w:rFonts w:cs="Times New Roman" w:ascii="Times New Roman" w:hAnsi="Times New Roman"/>
          <w:b/>
          <w:color w:val="000000"/>
          <w:sz w:val="24"/>
          <w:szCs w:val="24"/>
        </w:rPr>
        <w:t>57</w:t>
      </w:r>
      <w:r>
        <w:rPr>
          <w:rFonts w:cs="Times New Roman" w:ascii="Times New Roman" w:hAnsi="Times New Roman"/>
          <w:color w:val="000000"/>
          <w:sz w:val="24"/>
          <w:szCs w:val="24"/>
        </w:rPr>
        <w:t xml:space="preserve"> (1934) 373-377.</w:t>
      </w:r>
    </w:p>
    <w:p>
      <w:pPr>
        <w:sectPr>
          <w:type w:val="continuous"/>
          <w:pgSz w:w="12240" w:h="15840"/>
          <w:pgMar w:left="1440" w:right="450" w:gutter="0" w:header="864" w:top="1440" w:footer="720" w:bottom="1440"/>
          <w:cols w:num="2" w:space="720" w:equalWidth="true" w:sep="false"/>
          <w:formProt w:val="false"/>
          <w:textDirection w:val="lrTb"/>
          <w:docGrid w:type="default" w:linePitch="360" w:charSpace="0"/>
        </w:sectPr>
      </w:pP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w:t>
      </w:r>
    </w:p>
    <w:sectPr>
      <w:type w:val="continuous"/>
      <w:pgSz w:w="12240" w:h="15840"/>
      <w:pgMar w:left="1440" w:right="450" w:gutter="0" w:header="864"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5080" distB="5715" distL="5715" distR="5080" simplePos="0" locked="0" layoutInCell="1" allowOverlap="1" relativeHeight="11" wp14:anchorId="2DA7439D">
              <wp:simplePos x="0" y="0"/>
              <wp:positionH relativeFrom="column">
                <wp:posOffset>-24765</wp:posOffset>
              </wp:positionH>
              <wp:positionV relativeFrom="paragraph">
                <wp:posOffset>-86360</wp:posOffset>
              </wp:positionV>
              <wp:extent cx="6619875" cy="635"/>
              <wp:effectExtent l="5715" t="5080" r="5080" b="5715"/>
              <wp:wrapNone/>
              <wp:docPr id="4" name="AutoShape 2"/>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2" path="m0,0l-2147483648,-2147483647e" stroked="t" o:allowincell="f" style="position:absolute;margin-left:-1.95pt;margin-top:-6.8pt;width:521.2pt;height:0pt;mso-wrap-style:none;v-text-anchor:middle" wp14:anchorId="2DA7439D" type="_x0000_t32">
              <v:fill o:detectmouseclick="t" on="false"/>
              <v:stroke color="black" weight="9360" joinstyle="round" endcap="flat"/>
              <w10:wrap type="none"/>
            </v:shape>
          </w:pict>
        </mc:Fallback>
      </mc:AlternateContent>
    </w:r>
    <w:r>
      <w:rPr/>
      <w:t>Volume xx, Issue y, Article Number : nn.  (to be assigned by Editor)                                                   www.physed</w:t>
    </w:r>
    <w:r>
      <w:rPr/>
      <w:t>n</w:t>
    </w:r>
    <w:r>
      <w:rPr/>
      <w:t xml:space="preserve">.in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mc:AlternateContent>
        <mc:Choice Requires="wps">
          <w:drawing>
            <wp:anchor behindDoc="1" distT="5080" distB="5715" distL="5715" distR="5080" simplePos="0" locked="0" layoutInCell="1" allowOverlap="1" relativeHeight="11" wp14:anchorId="2DA7439D">
              <wp:simplePos x="0" y="0"/>
              <wp:positionH relativeFrom="column">
                <wp:posOffset>-24765</wp:posOffset>
              </wp:positionH>
              <wp:positionV relativeFrom="paragraph">
                <wp:posOffset>-86360</wp:posOffset>
              </wp:positionV>
              <wp:extent cx="6619875" cy="635"/>
              <wp:effectExtent l="5715" t="5080" r="5080" b="5715"/>
              <wp:wrapNone/>
              <wp:docPr id="5" name="AutoShape 2"/>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2" path="m0,0l-2147483648,-2147483647e" stroked="t" o:allowincell="f" style="position:absolute;margin-left:-1.95pt;margin-top:-6.8pt;width:521.2pt;height:0pt;mso-wrap-style:none;v-text-anchor:middle" wp14:anchorId="2DA7439D" type="_x0000_t32">
              <v:fill o:detectmouseclick="t" on="false"/>
              <v:stroke color="black" weight="9360" joinstyle="round" endcap="flat"/>
              <w10:wrap type="none"/>
            </v:shape>
          </w:pict>
        </mc:Fallback>
      </mc:AlternateContent>
    </w:r>
    <w:r>
      <w:rPr/>
      <w:t>Volume xx, Issue y, Article Number : nn.  (to be assigned by Editor)                                                   www.physed</w:t>
    </w:r>
    <w:r>
      <w:rPr/>
      <w:t>n</w:t>
    </w:r>
    <w:r>
      <w:rPr/>
      <w:t xml:space="preserve">.in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680" w:leader="none"/>
        <w:tab w:val="right" w:pos="11610" w:leader="none"/>
      </w:tabs>
      <w:rPr/>
    </w:pPr>
    <w:r>
      <w:rPr>
        <w:b/>
        <w:sz w:val="28"/>
      </w:rPr>
      <w:t xml:space="preserve">Physics Education                </w:t>
      <w:tab/>
      <w:t xml:space="preserve">                                                               dateline (inserted by Editor)</w:t>
    </w:r>
    <w:r>
      <w:rPr/>
      <w:tab/>
    </w:r>
  </w:p>
  <w:p>
    <w:pPr>
      <w:pStyle w:val="Header"/>
      <w:tabs>
        <w:tab w:val="clear" w:pos="9360"/>
        <w:tab w:val="center" w:pos="4680" w:leader="none"/>
      </w:tabs>
      <w:rPr/>
    </w:pPr>
    <w:r>
      <w:rPr/>
      <mc:AlternateContent>
        <mc:Choice Requires="wps">
          <w:drawing>
            <wp:anchor behindDoc="1" distT="5715" distB="5080" distL="5715" distR="5080" simplePos="0" locked="0" layoutInCell="1" allowOverlap="1" relativeHeight="6" wp14:anchorId="6C0875DD">
              <wp:simplePos x="0" y="0"/>
              <wp:positionH relativeFrom="column">
                <wp:posOffset>-24765</wp:posOffset>
              </wp:positionH>
              <wp:positionV relativeFrom="paragraph">
                <wp:posOffset>6350</wp:posOffset>
              </wp:positionV>
              <wp:extent cx="6711315" cy="635"/>
              <wp:effectExtent l="5715" t="5715" r="5080" b="5080"/>
              <wp:wrapNone/>
              <wp:docPr id="2" name="AutoShape 1"/>
              <a:graphic xmlns:a="http://schemas.openxmlformats.org/drawingml/2006/main">
                <a:graphicData uri="http://schemas.microsoft.com/office/word/2010/wordprocessingShape">
                  <wps:wsp>
                    <wps:cNvSpPr/>
                    <wps:spPr>
                      <a:xfrm>
                        <a:off x="0" y="0"/>
                        <a:ext cx="671148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 path="m0,0l-2147483648,-2147483647e" stroked="t" o:allowincell="f" style="position:absolute;margin-left:-1.95pt;margin-top:0.5pt;width:528.4pt;height:0pt;mso-wrap-style:none;v-text-anchor:middle" wp14:anchorId="6C0875DD" type="_x0000_t32">
              <v:fill o:detectmouseclick="t" on="false"/>
              <v:stroke color="black" weight="9360"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680" w:leader="none"/>
        <w:tab w:val="right" w:pos="11610" w:leader="none"/>
      </w:tabs>
      <w:rPr/>
    </w:pPr>
    <w:r>
      <w:rPr>
        <w:b/>
        <w:sz w:val="28"/>
      </w:rPr>
      <w:t xml:space="preserve">Physics Education                </w:t>
      <w:tab/>
      <w:t xml:space="preserve">                                                               dateline (inserted by Editor)</w:t>
    </w:r>
    <w:r>
      <w:rPr/>
      <w:tab/>
    </w:r>
  </w:p>
  <w:p>
    <w:pPr>
      <w:pStyle w:val="Header"/>
      <w:tabs>
        <w:tab w:val="clear" w:pos="9360"/>
        <w:tab w:val="center" w:pos="4680" w:leader="none"/>
      </w:tabs>
      <w:rPr/>
    </w:pPr>
    <w:r>
      <w:rPr/>
      <mc:AlternateContent>
        <mc:Choice Requires="wps">
          <w:drawing>
            <wp:anchor behindDoc="1" distT="5715" distB="5080" distL="5715" distR="5080" simplePos="0" locked="0" layoutInCell="1" allowOverlap="1" relativeHeight="6" wp14:anchorId="6C0875DD">
              <wp:simplePos x="0" y="0"/>
              <wp:positionH relativeFrom="column">
                <wp:posOffset>-24765</wp:posOffset>
              </wp:positionH>
              <wp:positionV relativeFrom="paragraph">
                <wp:posOffset>6350</wp:posOffset>
              </wp:positionV>
              <wp:extent cx="6711315" cy="635"/>
              <wp:effectExtent l="5715" t="5715" r="5080" b="5080"/>
              <wp:wrapNone/>
              <wp:docPr id="3" name="AutoShape 1"/>
              <a:graphic xmlns:a="http://schemas.openxmlformats.org/drawingml/2006/main">
                <a:graphicData uri="http://schemas.microsoft.com/office/word/2010/wordprocessingShape">
                  <wps:wsp>
                    <wps:cNvSpPr/>
                    <wps:spPr>
                      <a:xfrm>
                        <a:off x="0" y="0"/>
                        <a:ext cx="671148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 path="m0,0l-2147483648,-2147483647e" stroked="t" o:allowincell="f" style="position:absolute;margin-left:-1.95pt;margin-top:0.5pt;width:528.4pt;height:0pt;mso-wrap-style:none;v-text-anchor:middle" wp14:anchorId="6C0875DD" type="_x0000_t32">
              <v:fill o:detectmouseclick="t" on="false"/>
              <v:stroke color="black" weight="9360"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c1995"/>
    <w:rPr/>
  </w:style>
  <w:style w:type="character" w:styleId="FooterChar" w:customStyle="1">
    <w:name w:val="Footer Char"/>
    <w:basedOn w:val="DefaultParagraphFont"/>
    <w:link w:val="Footer"/>
    <w:uiPriority w:val="99"/>
    <w:qFormat/>
    <w:rsid w:val="005c1995"/>
    <w:rPr/>
  </w:style>
  <w:style w:type="character" w:styleId="BalloonTextChar" w:customStyle="1">
    <w:name w:val="Balloon Text Char"/>
    <w:basedOn w:val="DefaultParagraphFont"/>
    <w:link w:val="BalloonText"/>
    <w:uiPriority w:val="99"/>
    <w:semiHidden/>
    <w:qFormat/>
    <w:rsid w:val="005c1995"/>
    <w:rPr>
      <w:rFonts w:ascii="Tahoma" w:hAnsi="Tahoma" w:cs="Tahoma"/>
      <w:sz w:val="16"/>
      <w:szCs w:val="16"/>
    </w:rPr>
  </w:style>
  <w:style w:type="character" w:styleId="Hyperlink">
    <w:name w:val="Hyperlink"/>
    <w:basedOn w:val="DefaultParagraphFont"/>
    <w:uiPriority w:val="99"/>
    <w:unhideWhenUsed/>
    <w:rsid w:val="00cc12fe"/>
    <w:rPr>
      <w:color w:themeColor="hyperlink" w:val="0000FF"/>
      <w:u w:val="single"/>
    </w:rPr>
  </w:style>
  <w:style w:type="character" w:styleId="PlaceholderText">
    <w:name w:val="Placeholder Text"/>
    <w:basedOn w:val="DefaultParagraphFont"/>
    <w:uiPriority w:val="99"/>
    <w:semiHidden/>
    <w:qFormat/>
    <w:rsid w:val="00c35af8"/>
    <w:rPr>
      <w:color w:val="808080"/>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uiPriority w:val="35"/>
    <w:unhideWhenUsed/>
    <w:qFormat/>
    <w:rsid w:val="00c54d29"/>
    <w:pPr>
      <w:spacing w:lineRule="auto" w:line="240"/>
    </w:pPr>
    <w:rPr>
      <w:b/>
      <w:bCs/>
      <w:color w:themeColor="accent1" w:val="4F81BD"/>
      <w:sz w:val="18"/>
      <w:szCs w:val="18"/>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5c199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c1995"/>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5c1995"/>
    <w:pPr>
      <w:spacing w:lineRule="auto" w:line="240" w:before="0" w:after="0"/>
    </w:pPr>
    <w:rPr>
      <w:rFonts w:ascii="Tahoma" w:hAnsi="Tahoma" w:cs="Tahoma"/>
      <w:sz w:val="16"/>
      <w:szCs w:val="16"/>
    </w:rPr>
  </w:style>
  <w:style w:type="paragraph" w:styleId="ListParagraph">
    <w:name w:val="List Paragraph"/>
    <w:basedOn w:val="Normal"/>
    <w:uiPriority w:val="34"/>
    <w:qFormat/>
    <w:rsid w:val="007966aa"/>
    <w:pPr>
      <w:spacing w:before="0" w:after="200"/>
      <w:ind w:start="720"/>
      <w:contextualSpacing/>
    </w:pPr>
    <w:rPr/>
  </w:style>
  <w:style w:type="paragraph" w:styleId="body" w:customStyle="1">
    <w:name w:val="body"/>
    <w:basedOn w:val="Normal"/>
    <w:qFormat/>
    <w:rsid w:val="002a0a8d"/>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203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5563-12F9-4711-8AC8-73B4599F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PhysicsEducationTemplate.dotx</Template>
  <TotalTime>7</TotalTime>
  <Application>LibreOffice/25.2.6.2$Linux_X86_64 LibreOffice_project/520$Build-2</Application>
  <AppVersion>15.0000</AppVersion>
  <Pages>4</Pages>
  <Words>1661</Words>
  <Characters>8767</Characters>
  <CharactersWithSpaces>10687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2026-03-13T21:11:04Z</dcterms:created>
  <dc:creator/>
  <dc:description/>
  <dc:language>en-IN</dc:language>
  <cp:lastModifiedBy/>
  <dcterms:modified xsi:type="dcterms:W3CDTF">2026-03-13T21:13:12Z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